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ind w:left="720" w:hanging="360"/>
        <w:jc w:val="cente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center"/>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Identificarea Zonelor Prioritare pentru Biodiversitate (ZPB)</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sdt>
        <w:sdtPr>
          <w:id w:val="1780989643"/>
          <w:tag w:val="goog_rdk_0"/>
        </w:sdtPr>
        <w:sdtContent/>
      </w:sdt>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PVCV049ZPB</w:t>
      </w:r>
      <w:r w:rsidDel="00000000" w:rsidR="00000000" w:rsidRPr="00000000">
        <w:rPr>
          <w:rtl w:val="0"/>
        </w:rPr>
      </w:r>
    </w:p>
    <w:p w:rsidR="00000000" w:rsidDel="00000000" w:rsidP="00000000" w:rsidRDefault="00000000" w:rsidRPr="00000000" w14:paraId="00000007">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Cvasivirgină Păltineț</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83693355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811988799"/>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2198821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Ind w:w="10.0" w:type="dxa"/>
        <w:tblLayout w:type="fixed"/>
        <w:tblLook w:val="0400"/>
      </w:tblPr>
      <w:tblGrid>
        <w:gridCol w:w="4500"/>
        <w:gridCol w:w="4500"/>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jc w:val="both"/>
        <w:rPr>
          <w:b w:val="1"/>
          <w:bCs w:val="1"/>
          <w:sz w:val="22"/>
          <w:szCs w:val="22"/>
        </w:rPr>
      </w:pPr>
      <w:r w:rsidDel="00000000" w:rsidR="00000000" w:rsidRPr="00000000">
        <w:rPr>
          <w:rtl w:val="0"/>
        </w:rPr>
      </w:r>
    </w:p>
    <w:p w:rsidR="00000000" w:rsidDel="00000000" w:rsidP="00000000" w:rsidRDefault="00000000" w:rsidRPr="00000000" w14:paraId="0000002D">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sz w:val="22"/>
          <w:szCs w:val="22"/>
        </w:rPr>
      </w:pPr>
      <w:r w:rsidDel="00000000" w:rsidR="00000000" w:rsidRPr="00000000">
        <w:rPr>
          <w:b w:val="1"/>
          <w:bCs w:val="1"/>
          <w:sz w:val="22"/>
          <w:szCs w:val="22"/>
          <w:rtl w:val="0"/>
        </w:rPr>
        <w:t xml:space="preserve">1.7. Datele indicării și desemnării ca ZPB </w:t>
      </w:r>
      <w:r w:rsidDel="00000000" w:rsidR="00000000" w:rsidRPr="00000000">
        <w:rPr>
          <w:rtl w:val="0"/>
        </w:rPr>
      </w:r>
    </w:p>
    <w:tbl>
      <w:tblPr>
        <w:tblStyle w:val="Table4"/>
        <w:tblW w:w="9000.0" w:type="dxa"/>
        <w:jc w:val="left"/>
        <w:tblInd w:w="10.0" w:type="dxa"/>
        <w:tblLayout w:type="fixed"/>
        <w:tblLook w:val="0400"/>
      </w:tblPr>
      <w:tblGrid>
        <w:gridCol w:w="4466"/>
        <w:gridCol w:w="4534"/>
      </w:tblGrid>
      <w:tr>
        <w:trPr>
          <w:cantSplit w:val="0"/>
          <w:tblHeader w:val="0"/>
        </w:trPr>
        <w:tc>
          <w:tcPr/>
          <w:p w:rsidR="00000000" w:rsidDel="00000000" w:rsidP="00000000" w:rsidRDefault="00000000" w:rsidRPr="00000000" w14:paraId="00000030">
            <w:pPr>
              <w:rPr>
                <w:sz w:val="22"/>
                <w:szCs w:val="22"/>
              </w:rPr>
            </w:pPr>
            <w:r w:rsidDel="00000000" w:rsidR="00000000" w:rsidRPr="00000000">
              <w:rPr>
                <w:rtl w:val="0"/>
              </w:rPr>
            </w:r>
          </w:p>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sz w:val="22"/>
          <w:szCs w:val="22"/>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 </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39,17</w:t>
      </w: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protejate/OECM </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186,52%</w:t>
      </w: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2.3. Încadrarea ZPB în regiunile administrative </w:t>
      </w:r>
      <w:r w:rsidDel="00000000" w:rsidR="00000000" w:rsidRPr="00000000">
        <w:rPr>
          <w:rtl w:val="0"/>
        </w:rPr>
      </w:r>
    </w:p>
    <w:tbl>
      <w:tblPr>
        <w:tblStyle w:val="Table6"/>
        <w:tblW w:w="9000.0" w:type="dxa"/>
        <w:jc w:val="left"/>
        <w:tblInd w:w="10.0" w:type="dxa"/>
        <w:tblLayout w:type="fixed"/>
        <w:tblLook w:val="0400"/>
      </w:tblPr>
      <w:tblGrid>
        <w:gridCol w:w="3164"/>
        <w:gridCol w:w="445"/>
        <w:gridCol w:w="5391"/>
      </w:tblGrid>
      <w:tr>
        <w:trPr>
          <w:cantSplit w:val="0"/>
          <w:tblHeader w:val="0"/>
        </w:trPr>
        <w:tc>
          <w:tcPr/>
          <w:p w:rsidR="00000000" w:rsidDel="00000000" w:rsidP="00000000" w:rsidRDefault="00000000" w:rsidRPr="00000000" w14:paraId="0000004B">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C">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E">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1">
      <w:pPr>
        <w:spacing w:before="240" w:lineRule="auto"/>
        <w:rPr/>
      </w:pPr>
      <w:r w:rsidDel="00000000" w:rsidR="00000000" w:rsidRPr="00000000">
        <w:rPr>
          <w:sz w:val="22"/>
          <w:szCs w:val="22"/>
          <w:rtl w:val="0"/>
        </w:rPr>
        <w:t xml:space="preserve">Numele Județului/Județelor </w:t>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Prahova</w:t>
      </w:r>
    </w:p>
    <w:p w:rsidR="00000000" w:rsidDel="00000000" w:rsidP="00000000" w:rsidRDefault="00000000" w:rsidRPr="00000000" w14:paraId="00000053">
      <w:pPr>
        <w:jc w:val="both"/>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9000.0" w:type="dxa"/>
        <w:jc w:val="left"/>
        <w:tblInd w:w="10.0" w:type="dxa"/>
        <w:tblLayout w:type="fixed"/>
        <w:tblLook w:val="0400"/>
      </w:tblPr>
      <w:tblGrid>
        <w:gridCol w:w="2937"/>
        <w:gridCol w:w="47"/>
        <w:gridCol w:w="3007"/>
        <w:gridCol w:w="47"/>
        <w:gridCol w:w="2962"/>
      </w:tblGrid>
      <w:tr>
        <w:trPr>
          <w:cantSplit w:val="0"/>
          <w:tblHeader w:val="0"/>
        </w:trPr>
        <w:tc>
          <w:tcPr/>
          <w:p w:rsidR="00000000" w:rsidDel="00000000" w:rsidP="00000000" w:rsidRDefault="00000000" w:rsidRPr="00000000" w14:paraId="00000054">
            <w:pPr>
              <w:rPr/>
            </w:pPr>
            <w:sdt>
              <w:sdtPr>
                <w:id w:val="-118030218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5">
            <w:pPr>
              <w:rPr/>
            </w:pPr>
            <w:r w:rsidDel="00000000" w:rsidR="00000000" w:rsidRPr="00000000">
              <w:rPr>
                <w:rtl w:val="0"/>
              </w:rPr>
            </w:r>
          </w:p>
        </w:tc>
        <w:tc>
          <w:tcPr/>
          <w:p w:rsidR="00000000" w:rsidDel="00000000" w:rsidP="00000000" w:rsidRDefault="00000000" w:rsidRPr="00000000" w14:paraId="00000056">
            <w:pPr>
              <w:rPr/>
            </w:pPr>
            <w:sdt>
              <w:sdtPr>
                <w:id w:val="-113672472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7">
            <w:pPr>
              <w:rPr/>
            </w:pPr>
            <w:r w:rsidDel="00000000" w:rsidR="00000000" w:rsidRPr="00000000">
              <w:rPr>
                <w:rtl w:val="0"/>
              </w:rPr>
            </w:r>
          </w:p>
        </w:tc>
        <w:tc>
          <w:tcPr/>
          <w:p w:rsidR="00000000" w:rsidDel="00000000" w:rsidP="00000000" w:rsidRDefault="00000000" w:rsidRPr="00000000" w14:paraId="00000058">
            <w:pPr>
              <w:rPr/>
            </w:pPr>
            <w:sdt>
              <w:sdtPr>
                <w:id w:val="29261381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9">
            <w:pPr>
              <w:rPr/>
            </w:pPr>
            <w:sdt>
              <w:sdtPr>
                <w:id w:val="885811784"/>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136317400"/>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1178530841"/>
                <w:tag w:val="goog_rdk_9"/>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t xml:space="preserve"> </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3">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7">
      <w:pPr>
        <w:rPr>
          <w:sz w:val="22"/>
          <w:szCs w:val="22"/>
        </w:rPr>
      </w:pPr>
      <w:r w:rsidDel="00000000" w:rsidR="00000000" w:rsidRPr="00000000">
        <w:rPr>
          <w:b w:val="1"/>
          <w:bCs w:val="1"/>
          <w:sz w:val="22"/>
          <w:szCs w:val="22"/>
          <w:rtl w:val="0"/>
        </w:rPr>
        <w:t xml:space="preserve">Suprafața totală a ZPB (ha) </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39,17</w:t>
      </w:r>
      <w:r w:rsidDel="00000000" w:rsidR="00000000" w:rsidRPr="00000000">
        <w:rPr>
          <w:rtl w:val="0"/>
        </w:rPr>
      </w:r>
    </w:p>
    <w:p w:rsidR="00000000" w:rsidDel="00000000" w:rsidP="00000000" w:rsidRDefault="00000000" w:rsidRPr="00000000" w14:paraId="00000069">
      <w:pPr>
        <w:jc w:val="both"/>
        <w:rPr>
          <w:sz w:val="22"/>
          <w:szCs w:val="22"/>
        </w:rPr>
      </w:pPr>
      <w:r w:rsidDel="00000000" w:rsidR="00000000" w:rsidRPr="00000000">
        <w:rPr>
          <w:b w:val="1"/>
          <w:bCs w:val="1"/>
          <w:sz w:val="22"/>
          <w:szCs w:val="22"/>
          <w:rtl w:val="0"/>
        </w:rPr>
        <w:t xml:space="preserve">Documente relevante în raport cu ZPB</w:t>
      </w:r>
      <w:r w:rsidDel="00000000" w:rsidR="00000000" w:rsidRPr="00000000">
        <w:rPr>
          <w:sz w:val="22"/>
          <w:szCs w:val="22"/>
          <w:rtl w:val="0"/>
        </w:rPr>
        <w:t xml:space="preserve"> </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B">
      <w:pPr>
        <w:jc w:val="both"/>
        <w:rPr>
          <w:sz w:val="16"/>
          <w:szCs w:val="16"/>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338.0" w:type="dxa"/>
        <w:jc w:val="left"/>
        <w:tblInd w:w="10.0" w:type="dxa"/>
        <w:tblLayout w:type="fixed"/>
        <w:tblLook w:val="0400"/>
      </w:tblPr>
      <w:tblGrid>
        <w:gridCol w:w="4497"/>
        <w:gridCol w:w="484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1">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jc w:val="both"/>
              <w:rPr>
                <w:sz w:val="22"/>
                <w:szCs w:val="22"/>
              </w:rPr>
            </w:pPr>
            <w:r w:rsidDel="00000000" w:rsidR="00000000" w:rsidRPr="00000000">
              <w:rPr>
                <w:b w:val="1"/>
                <w:bCs w:val="1"/>
                <w:sz w:val="22"/>
                <w:szCs w:val="22"/>
                <w:rtl w:val="0"/>
              </w:rPr>
              <w:t xml:space="preserve">Păduri virgine / cvasivirgine (PVCV)</w:t>
            </w:r>
            <w:r w:rsidDel="00000000" w:rsidR="00000000" w:rsidRPr="00000000">
              <w:rPr>
                <w:rtl w:val="0"/>
              </w:rPr>
            </w:r>
          </w:p>
          <w:p w:rsidR="00000000" w:rsidDel="00000000" w:rsidP="00000000" w:rsidRDefault="00000000" w:rsidRPr="00000000" w14:paraId="00000076">
            <w:pPr>
              <w:spacing w:after="0" w:lineRule="auto"/>
              <w:jc w:val="both"/>
              <w:rPr>
                <w:sz w:val="22"/>
                <w:szCs w:val="22"/>
              </w:rPr>
            </w:pPr>
            <w:r w:rsidDel="00000000" w:rsidR="00000000" w:rsidRPr="00000000">
              <w:rPr>
                <w:sz w:val="22"/>
                <w:szCs w:val="22"/>
                <w:rtl w:val="0"/>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rsidR="00000000" w:rsidDel="00000000" w:rsidP="00000000" w:rsidRDefault="00000000" w:rsidRPr="00000000" w14:paraId="00000077">
            <w:pPr>
              <w:spacing w:after="0" w:lineRule="auto"/>
              <w:jc w:val="both"/>
              <w:rPr>
                <w:sz w:val="22"/>
                <w:szCs w:val="22"/>
              </w:rPr>
            </w:pPr>
            <w:r w:rsidDel="00000000" w:rsidR="00000000" w:rsidRPr="00000000">
              <w:rPr>
                <w:sz w:val="22"/>
                <w:szCs w:val="22"/>
                <w:rtl w:val="0"/>
              </w:rPr>
              <w:t xml:space="preserve">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rsidR="00000000" w:rsidDel="00000000" w:rsidP="00000000" w:rsidRDefault="00000000" w:rsidRPr="00000000" w14:paraId="00000078">
            <w:pPr>
              <w:spacing w:after="0" w:lineRule="auto"/>
              <w:jc w:val="both"/>
              <w:rPr>
                <w:sz w:val="22"/>
                <w:szCs w:val="22"/>
              </w:rPr>
            </w:pPr>
            <w:r w:rsidDel="00000000" w:rsidR="00000000" w:rsidRPr="00000000">
              <w:rPr>
                <w:sz w:val="22"/>
                <w:szCs w:val="22"/>
                <w:rtl w:val="0"/>
              </w:rPr>
              <w:t xml:space="preserve">Desemnarea ca ZPB se fundamentează pe criteriul metodologiei aplicabil pădurilor virgine și cvasivirgine, precum și pe valoarea conservativă ridicată a ecosistemelor forestiere naturale.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8A">
            <w:pPr>
              <w:spacing w:after="0"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8D">
      <w:pPr>
        <w:rPr/>
      </w:pPr>
      <w:r w:rsidDel="00000000" w:rsidR="00000000" w:rsidRPr="00000000">
        <w:rPr>
          <w:rtl w:val="0"/>
        </w:rPr>
      </w:r>
    </w:p>
    <w:p w:rsidR="00000000" w:rsidDel="00000000" w:rsidP="00000000" w:rsidRDefault="00000000" w:rsidRPr="00000000" w14:paraId="0000008E">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 “Stațiuni forestiere”, Vol. II, Ed. Academiei R.S.R., București</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 Ecologie forestieră (cu elemente de ecologie generală), Ed. Ceres</w:t>
      </w:r>
    </w:p>
    <w:p w:rsidR="00000000" w:rsidDel="00000000" w:rsidP="00000000" w:rsidRDefault="00000000" w:rsidRPr="00000000" w14:paraId="0000009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Doniță N., Popescu A., Pauca-Comanescu M., Mihailescu S., Biris I. 2005 - “Habitatele din Romania”, Ed. Tehnicã Silvicã, București </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20a9976touen"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Gafta D., Mountford J.O. 2008. Manual de interpretare a habitatelor Natura 2000 din Romania, Ed. RISOPRINT, editor M.M.D.D. </w:t>
      </w:r>
    </w:p>
    <w:p w:rsidR="00000000" w:rsidDel="00000000" w:rsidP="00000000" w:rsidRDefault="00000000" w:rsidRPr="00000000" w14:paraId="0000009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9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12 februarie 2025 – Ploiești</w:t>
      </w:r>
    </w:p>
    <w:p w:rsidR="00000000" w:rsidDel="00000000" w:rsidP="00000000" w:rsidRDefault="00000000" w:rsidRPr="00000000" w14:paraId="0000009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20 ianuarie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 participarea factorilor interesați relevanți din județul Prahova. De asemenea au avut loc consultări fizice cu participarea factorilor interesați relevanți după cum urmează: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februarie 2026</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consultare Prefectura Prahova.</w:t>
      </w:r>
    </w:p>
    <w:p w:rsidR="00000000" w:rsidDel="00000000" w:rsidP="00000000" w:rsidRDefault="00000000" w:rsidRPr="00000000" w14:paraId="00000099">
      <w:pPr>
        <w:jc w:val="center"/>
        <w:rPr>
          <w:b w:val="1"/>
          <w:bCs w:val="1"/>
          <w:sz w:val="22"/>
          <w:szCs w:val="22"/>
        </w:rPr>
      </w:pPr>
      <w:r w:rsidDel="00000000" w:rsidR="00000000" w:rsidRPr="00000000">
        <w:rPr>
          <w:rtl w:val="0"/>
        </w:rPr>
      </w:r>
    </w:p>
    <w:p w:rsidR="00000000" w:rsidDel="00000000" w:rsidP="00000000" w:rsidRDefault="00000000" w:rsidRPr="00000000" w14:paraId="0000009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9B">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9C">
      <w:pPr>
        <w:rPr>
          <w:sz w:val="22"/>
          <w:szCs w:val="22"/>
        </w:rPr>
      </w:pPr>
      <w:r w:rsidDel="00000000" w:rsidR="00000000" w:rsidRPr="00000000">
        <w:rPr>
          <w:sz w:val="22"/>
          <w:szCs w:val="22"/>
          <w:rtl w:val="0"/>
        </w:rPr>
        <w:t xml:space="preserve">Link: </w:t>
      </w:r>
      <w:hyperlink r:id="rId9">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Play"/>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pPr>
      <w:spacing w:line="259" w:lineRule="auto"/>
    </w:pPr>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rezultatele-proiectului/"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IYzR53esh5uZwJnmFyKjtx0mPg==">CgMxLjAaJwoBMBIiCiAIBCocCgtBQUFCOWtTWFVrTRAIGgtBQUFCOWtTWFVrTR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